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7E38D" w14:textId="75E25D46" w:rsidR="002268EC" w:rsidRPr="001A7F76" w:rsidRDefault="002268EC" w:rsidP="00626139">
      <w:pPr>
        <w:pStyle w:val="Header"/>
        <w:jc w:val="right"/>
        <w:rPr>
          <w:sz w:val="18"/>
          <w:szCs w:val="18"/>
        </w:rPr>
      </w:pPr>
      <w:bookmarkStart w:id="0" w:name="_Hlk194416894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B50A42" wp14:editId="6B14F8A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0635" cy="883285"/>
            <wp:effectExtent l="0" t="0" r="5715" b="0"/>
            <wp:wrapTight wrapText="bothSides">
              <wp:wrapPolygon edited="0">
                <wp:start x="11658" y="0"/>
                <wp:lineTo x="0" y="0"/>
                <wp:lineTo x="0" y="19100"/>
                <wp:lineTo x="2591" y="20963"/>
                <wp:lineTo x="19106" y="20963"/>
                <wp:lineTo x="21373" y="19100"/>
                <wp:lineTo x="21373" y="15839"/>
                <wp:lineTo x="21049" y="14907"/>
                <wp:lineTo x="21373" y="14441"/>
                <wp:lineTo x="21373" y="3727"/>
                <wp:lineTo x="14249" y="0"/>
                <wp:lineTo x="11658" y="0"/>
              </wp:wrapPolygon>
            </wp:wrapTight>
            <wp:docPr id="1512233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F76">
        <w:rPr>
          <w:sz w:val="18"/>
          <w:szCs w:val="18"/>
        </w:rPr>
        <w:t>Government Center 915 8</w:t>
      </w:r>
      <w:r w:rsidRPr="001A7F76">
        <w:rPr>
          <w:sz w:val="18"/>
          <w:szCs w:val="18"/>
          <w:vertAlign w:val="superscript"/>
        </w:rPr>
        <w:t>th</w:t>
      </w:r>
      <w:r w:rsidRPr="001A7F76">
        <w:rPr>
          <w:sz w:val="18"/>
          <w:szCs w:val="18"/>
        </w:rPr>
        <w:t xml:space="preserve"> Street, Suite 1</w:t>
      </w:r>
      <w:r>
        <w:rPr>
          <w:sz w:val="18"/>
          <w:szCs w:val="18"/>
        </w:rPr>
        <w:t>23</w:t>
      </w:r>
    </w:p>
    <w:p w14:paraId="2D415F42" w14:textId="77777777" w:rsidR="002268EC" w:rsidRPr="001A7F76" w:rsidRDefault="002268EC" w:rsidP="002268EC">
      <w:pPr>
        <w:pStyle w:val="Header"/>
        <w:spacing w:line="276" w:lineRule="auto"/>
        <w:jc w:val="right"/>
        <w:rPr>
          <w:sz w:val="18"/>
          <w:szCs w:val="18"/>
        </w:rPr>
      </w:pPr>
      <w:r w:rsidRPr="001A7F76">
        <w:rPr>
          <w:sz w:val="18"/>
          <w:szCs w:val="18"/>
        </w:rPr>
        <w:t>Marysville, California 95901-5273</w:t>
      </w:r>
    </w:p>
    <w:p w14:paraId="3FF021F2" w14:textId="77777777" w:rsidR="002268EC" w:rsidRDefault="002268EC" w:rsidP="002268EC">
      <w:pPr>
        <w:pStyle w:val="Header"/>
        <w:spacing w:line="276" w:lineRule="auto"/>
        <w:jc w:val="right"/>
        <w:rPr>
          <w:sz w:val="18"/>
          <w:szCs w:val="18"/>
        </w:rPr>
      </w:pPr>
      <w:r w:rsidRPr="001A7F76">
        <w:rPr>
          <w:sz w:val="18"/>
          <w:szCs w:val="18"/>
        </w:rPr>
        <w:t>(530) 749-</w:t>
      </w:r>
      <w:r>
        <w:rPr>
          <w:sz w:val="18"/>
          <w:szCs w:val="18"/>
        </w:rPr>
        <w:t>5450</w:t>
      </w:r>
      <w:r w:rsidRPr="001A7F76">
        <w:rPr>
          <w:sz w:val="18"/>
          <w:szCs w:val="18"/>
        </w:rPr>
        <w:t xml:space="preserve"> Fax (530) 749-</w:t>
      </w:r>
      <w:r>
        <w:rPr>
          <w:sz w:val="18"/>
          <w:szCs w:val="18"/>
        </w:rPr>
        <w:t>5454</w:t>
      </w:r>
    </w:p>
    <w:bookmarkEnd w:id="0"/>
    <w:p w14:paraId="53B930A1" w14:textId="77777777" w:rsidR="006923BE" w:rsidRDefault="006923BE" w:rsidP="00C45C14">
      <w:pPr>
        <w:pStyle w:val="Header"/>
        <w:spacing w:line="276" w:lineRule="auto"/>
        <w:rPr>
          <w:sz w:val="18"/>
          <w:szCs w:val="18"/>
        </w:rPr>
      </w:pPr>
    </w:p>
    <w:p w14:paraId="7396131D" w14:textId="77777777" w:rsidR="009335A3" w:rsidRDefault="009335A3" w:rsidP="002C0AFD">
      <w:pPr>
        <w:spacing w:after="2"/>
        <w:ind w:left="720"/>
        <w:jc w:val="center"/>
        <w:rPr>
          <w:rFonts w:ascii="Arial" w:hAnsi="Arial" w:cs="Arial"/>
        </w:rPr>
      </w:pPr>
    </w:p>
    <w:p w14:paraId="7DA87D27" w14:textId="77777777" w:rsidR="00626139" w:rsidRDefault="00626139" w:rsidP="002C0AFD">
      <w:pPr>
        <w:spacing w:after="2"/>
        <w:ind w:left="720"/>
        <w:jc w:val="center"/>
        <w:rPr>
          <w:rFonts w:ascii="Arial" w:hAnsi="Arial" w:cs="Arial"/>
        </w:rPr>
      </w:pPr>
    </w:p>
    <w:p w14:paraId="0C5D596F" w14:textId="77777777" w:rsidR="00626139" w:rsidRDefault="00626139" w:rsidP="002C0AFD">
      <w:pPr>
        <w:spacing w:after="2"/>
        <w:ind w:left="720"/>
        <w:jc w:val="center"/>
        <w:rPr>
          <w:rFonts w:ascii="Arial" w:hAnsi="Arial" w:cs="Arial"/>
        </w:rPr>
      </w:pPr>
    </w:p>
    <w:p w14:paraId="56CA6822" w14:textId="5B0A12FB" w:rsidR="00626139" w:rsidRPr="008D4B24" w:rsidRDefault="00626139" w:rsidP="00626139">
      <w:pPr>
        <w:spacing w:after="2"/>
        <w:ind w:left="720"/>
        <w:jc w:val="center"/>
        <w:rPr>
          <w:rFonts w:ascii="Arial" w:hAnsi="Arial" w:cs="Arial"/>
          <w:b/>
          <w:bCs/>
          <w:u w:val="single"/>
        </w:rPr>
      </w:pPr>
      <w:r w:rsidRPr="008D4B24">
        <w:rPr>
          <w:rFonts w:ascii="Arial" w:hAnsi="Arial" w:cs="Arial"/>
          <w:b/>
          <w:bCs/>
          <w:u w:val="single"/>
        </w:rPr>
        <w:t xml:space="preserve">FENCING REQUIREMENTS AT A PUBLIC POOL, SPA, WADING </w:t>
      </w:r>
      <w:proofErr w:type="gramStart"/>
      <w:r w:rsidRPr="008D4B24">
        <w:rPr>
          <w:rFonts w:ascii="Arial" w:hAnsi="Arial" w:cs="Arial"/>
          <w:b/>
          <w:bCs/>
          <w:u w:val="single"/>
        </w:rPr>
        <w:t>POOL</w:t>
      </w:r>
      <w:proofErr w:type="gramEnd"/>
      <w:r w:rsidRPr="008D4B24">
        <w:rPr>
          <w:rFonts w:ascii="Arial" w:hAnsi="Arial" w:cs="Arial"/>
          <w:b/>
          <w:bCs/>
          <w:u w:val="single"/>
        </w:rPr>
        <w:t xml:space="preserve"> OR SPRAY GROUNDS</w:t>
      </w:r>
    </w:p>
    <w:p w14:paraId="51563F54" w14:textId="77777777" w:rsidR="00626139" w:rsidRDefault="00626139" w:rsidP="00626139">
      <w:pPr>
        <w:spacing w:after="2"/>
        <w:ind w:left="720"/>
        <w:jc w:val="center"/>
        <w:rPr>
          <w:rFonts w:ascii="Arial" w:hAnsi="Arial" w:cs="Arial"/>
          <w:b/>
          <w:bCs/>
        </w:rPr>
      </w:pPr>
    </w:p>
    <w:p w14:paraId="02C59A1A" w14:textId="146A3804" w:rsidR="00626139" w:rsidRDefault="00626139" w:rsidP="00626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The pool shall be enclosed by one or a combination of the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following: a fence, portion of a building, wall, or other approved durable enclosure.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Doors, openable windows, gates of living units or associated private premises shall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not be permitted as part of the pool enclosure. The enclosure, doors and gates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shall meet </w:t>
      </w:r>
      <w:proofErr w:type="gramStart"/>
      <w:r w:rsidRPr="00626139">
        <w:rPr>
          <w:rFonts w:ascii="Arial" w:hAnsi="Arial" w:cs="Arial"/>
          <w:kern w:val="0"/>
          <w:sz w:val="22"/>
          <w:szCs w:val="22"/>
        </w:rPr>
        <w:t>all of</w:t>
      </w:r>
      <w:proofErr w:type="gramEnd"/>
      <w:r w:rsidRPr="00626139">
        <w:rPr>
          <w:rFonts w:ascii="Arial" w:hAnsi="Arial" w:cs="Arial"/>
          <w:kern w:val="0"/>
          <w:sz w:val="22"/>
          <w:szCs w:val="22"/>
        </w:rPr>
        <w:t xml:space="preserve"> the following specifications:</w:t>
      </w:r>
    </w:p>
    <w:p w14:paraId="3FA10D31" w14:textId="77777777" w:rsidR="00626139" w:rsidRDefault="00626139" w:rsidP="00626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6F753F0D" w14:textId="324F06D3" w:rsidR="00626139" w:rsidRDefault="00626139" w:rsidP="006261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The enclosure shall have a minimum effective perpendicular height of 5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feet (1524 mm) as measured from the outside as depicted in Figure 31B-</w:t>
      </w:r>
      <w:proofErr w:type="gramStart"/>
      <w:r w:rsidRPr="00626139">
        <w:rPr>
          <w:rFonts w:ascii="Arial" w:hAnsi="Arial" w:cs="Arial"/>
          <w:kern w:val="0"/>
          <w:sz w:val="22"/>
          <w:szCs w:val="22"/>
        </w:rPr>
        <w:t>4</w:t>
      </w:r>
      <w:proofErr w:type="gramEnd"/>
    </w:p>
    <w:p w14:paraId="75B903B0" w14:textId="77777777" w:rsidR="00626139" w:rsidRDefault="00626139" w:rsidP="006261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67A1735" w14:textId="77777777" w:rsidR="00626139" w:rsidRDefault="00626139" w:rsidP="006261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Openings, holes or gaps in the enclosure, doors and/or gates shall not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allow the passage of a 4-inch (102 mm) diameter sphere. </w:t>
      </w:r>
    </w:p>
    <w:p w14:paraId="24D92C3D" w14:textId="77777777" w:rsidR="00626139" w:rsidRPr="00626139" w:rsidRDefault="00626139" w:rsidP="00626139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02CA8D33" w14:textId="536EA343" w:rsidR="00626139" w:rsidRDefault="00626139" w:rsidP="0062613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The enclosure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shall be constructed over a hard and permanent material equivalent to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proofErr w:type="gramStart"/>
      <w:r w:rsidRPr="00626139">
        <w:rPr>
          <w:rFonts w:ascii="Arial" w:hAnsi="Arial" w:cs="Arial"/>
          <w:kern w:val="0"/>
          <w:sz w:val="22"/>
          <w:szCs w:val="22"/>
        </w:rPr>
        <w:t>concrete</w:t>
      </w:r>
      <w:proofErr w:type="gramEnd"/>
    </w:p>
    <w:p w14:paraId="2F97816B" w14:textId="77777777" w:rsidR="00626139" w:rsidRPr="00626139" w:rsidRDefault="00626139" w:rsidP="00626139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1FD83AF4" w14:textId="77777777" w:rsidR="00626139" w:rsidRDefault="00626139" w:rsidP="006261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T</w:t>
      </w:r>
      <w:r w:rsidRPr="00626139">
        <w:rPr>
          <w:rFonts w:ascii="Arial" w:hAnsi="Arial" w:cs="Arial"/>
          <w:kern w:val="0"/>
          <w:sz w:val="22"/>
          <w:szCs w:val="22"/>
        </w:rPr>
        <w:t>he enclosure shall be designed and constructed so that it cannot be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readily climbed by small children. </w:t>
      </w:r>
    </w:p>
    <w:p w14:paraId="455A6DF2" w14:textId="77777777" w:rsidR="00626139" w:rsidRPr="00626139" w:rsidRDefault="00626139" w:rsidP="00626139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05654D7E" w14:textId="77777777" w:rsidR="00626139" w:rsidRDefault="00626139" w:rsidP="0062613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Horizontal and diagonal member designs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which might serve as a ladder for small children are prohibited. </w:t>
      </w:r>
    </w:p>
    <w:p w14:paraId="35D18A5E" w14:textId="77777777" w:rsidR="00626139" w:rsidRDefault="00626139" w:rsidP="00626139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kern w:val="0"/>
          <w:sz w:val="22"/>
          <w:szCs w:val="22"/>
        </w:rPr>
      </w:pPr>
    </w:p>
    <w:p w14:paraId="1F749A66" w14:textId="77777777" w:rsidR="00626139" w:rsidRDefault="00626139" w:rsidP="0062613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Horizontal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members shall be spaced at least 48 inches (1219 mm) apart. </w:t>
      </w:r>
    </w:p>
    <w:p w14:paraId="5EEDFC4B" w14:textId="77777777" w:rsidR="00626139" w:rsidRDefault="00626139" w:rsidP="0062613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kern w:val="0"/>
          <w:sz w:val="22"/>
          <w:szCs w:val="22"/>
        </w:rPr>
      </w:pPr>
    </w:p>
    <w:p w14:paraId="1CD2B33A" w14:textId="77777777" w:rsidR="00626139" w:rsidRDefault="00626139" w:rsidP="0062613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No planters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or other structures that can be climbed shall be permitted within 5 feet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(1524 mm) of the outside of the pool enclosure or within a 5 foot (1524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mm) arc as depicted in Figure 31B-5. </w:t>
      </w:r>
    </w:p>
    <w:p w14:paraId="5A326B2C" w14:textId="77777777" w:rsidR="00626139" w:rsidRPr="00626139" w:rsidRDefault="00626139" w:rsidP="00626139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4E4E35F2" w14:textId="1D2E85E0" w:rsidR="00626139" w:rsidRPr="00626139" w:rsidRDefault="00626139" w:rsidP="006261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The area 5 feet (1524 mm) outside of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the pool enclosure shall be a common area open to the </w:t>
      </w:r>
      <w:proofErr w:type="gramStart"/>
      <w:r w:rsidRPr="00626139">
        <w:rPr>
          <w:rFonts w:ascii="Arial" w:hAnsi="Arial" w:cs="Arial"/>
          <w:kern w:val="0"/>
          <w:sz w:val="22"/>
          <w:szCs w:val="22"/>
        </w:rPr>
        <w:t>public</w:t>
      </w:r>
      <w:proofErr w:type="gramEnd"/>
    </w:p>
    <w:p w14:paraId="29786918" w14:textId="77777777" w:rsidR="00626139" w:rsidRPr="00626139" w:rsidRDefault="00626139" w:rsidP="00626139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3251B83D" w14:textId="24FA2197" w:rsidR="00626139" w:rsidRDefault="00626139" w:rsidP="006261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Chain link may be used, provided that the openings are not greater than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1¾ inches (44 mm) measured horizontally.</w:t>
      </w:r>
    </w:p>
    <w:p w14:paraId="4A9C73C8" w14:textId="77777777" w:rsidR="00626139" w:rsidRPr="00626139" w:rsidRDefault="00626139" w:rsidP="00626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5A58553" w14:textId="4FCC863B" w:rsidR="00626139" w:rsidRDefault="00626139" w:rsidP="00626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Gates and doors opening into the pool enclosure also shall meet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the following specifications:</w:t>
      </w:r>
    </w:p>
    <w:p w14:paraId="32CB6302" w14:textId="77777777" w:rsidR="008D4B24" w:rsidRPr="00626139" w:rsidRDefault="008D4B24" w:rsidP="00626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8757284" w14:textId="77777777" w:rsidR="00626139" w:rsidRDefault="00626139" w:rsidP="006261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Gates and doors shall be equipped with self-closing and self-latching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devices. The self-latching device shall keep the gate or door securely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closed. </w:t>
      </w:r>
    </w:p>
    <w:p w14:paraId="4779F1D1" w14:textId="77777777" w:rsidR="00626139" w:rsidRDefault="00626139" w:rsidP="006261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3F90D951" w14:textId="77777777" w:rsidR="00626139" w:rsidRDefault="00626139" w:rsidP="006261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Gates and doors shall open outwardly away from the pool except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where otherwise prohibited by law.</w:t>
      </w:r>
    </w:p>
    <w:p w14:paraId="32EDC335" w14:textId="77777777" w:rsidR="00626139" w:rsidRPr="00626139" w:rsidRDefault="00626139" w:rsidP="00626139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36139F60" w14:textId="71E83518" w:rsidR="00626139" w:rsidRPr="00626139" w:rsidRDefault="00626139" w:rsidP="006261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Hand activated door or gate opening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hardware shall be located at a height no lower than 42 inches (1067 mm)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but no higher than 44 inches (1179 mm) above the deck or walkway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0EA0C51C" w14:textId="77777777" w:rsidR="00626139" w:rsidRDefault="00626139" w:rsidP="006261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FC939A7" w14:textId="7700B9E3" w:rsidR="00626139" w:rsidRDefault="00626139" w:rsidP="006261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Gates and doors shall be capable of being locked during times when the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pool is closed. Exit doors which comply with Chapter 10, Title 24, California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Code of Regulations shall be considered as meeting these requirements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45B5A0F9" w14:textId="77777777" w:rsidR="00626139" w:rsidRDefault="00626139" w:rsidP="00626139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4ADB9970" w14:textId="77777777" w:rsidR="008D4B24" w:rsidRPr="00626139" w:rsidRDefault="008D4B24" w:rsidP="00626139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69DD1DBA" w14:textId="77777777" w:rsidR="00626139" w:rsidRDefault="00626139" w:rsidP="006261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lastRenderedPageBreak/>
        <w:t>The pool enclosure shall have at least one means of egress without a key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for emergency purposes.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</w:p>
    <w:p w14:paraId="62CA5D75" w14:textId="77777777" w:rsidR="00626139" w:rsidRPr="00626139" w:rsidRDefault="00626139" w:rsidP="00626139">
      <w:pPr>
        <w:pStyle w:val="ListParagraph"/>
        <w:rPr>
          <w:rFonts w:ascii="Arial" w:hAnsi="Arial" w:cs="Arial"/>
          <w:kern w:val="0"/>
          <w:sz w:val="22"/>
          <w:szCs w:val="22"/>
        </w:rPr>
      </w:pPr>
    </w:p>
    <w:p w14:paraId="53DB38FD" w14:textId="77777777" w:rsidR="00626139" w:rsidRDefault="00626139" w:rsidP="0062613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Unless all gates or doors are so equipped, those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gates and/or doors which will allow egress without a key shall have a sign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in letters at least 4 inches (102 mm) high stating EMERGENCY EXIT</w:t>
      </w:r>
    </w:p>
    <w:p w14:paraId="7BCCF463" w14:textId="77777777" w:rsidR="00626139" w:rsidRDefault="00626139" w:rsidP="0062613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kern w:val="0"/>
          <w:sz w:val="22"/>
          <w:szCs w:val="22"/>
        </w:rPr>
      </w:pPr>
    </w:p>
    <w:p w14:paraId="0B7841BF" w14:textId="77777777" w:rsidR="008D4B24" w:rsidRPr="008D4B24" w:rsidRDefault="00626139" w:rsidP="008D4B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" w:line="240" w:lineRule="auto"/>
        <w:rPr>
          <w:rFonts w:ascii="Arial" w:hAnsi="Arial" w:cs="Arial"/>
          <w:b/>
          <w:bCs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The enclosure shall be constructed so that all persons will be required to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pass through common pool enclosure gates or doors </w:t>
      </w:r>
      <w:proofErr w:type="gramStart"/>
      <w:r w:rsidRPr="00626139">
        <w:rPr>
          <w:rFonts w:ascii="Arial" w:hAnsi="Arial" w:cs="Arial"/>
          <w:kern w:val="0"/>
          <w:sz w:val="22"/>
          <w:szCs w:val="22"/>
        </w:rPr>
        <w:t>in order to</w:t>
      </w:r>
      <w:proofErr w:type="gramEnd"/>
      <w:r w:rsidRPr="00626139">
        <w:rPr>
          <w:rFonts w:ascii="Arial" w:hAnsi="Arial" w:cs="Arial"/>
          <w:kern w:val="0"/>
          <w:sz w:val="22"/>
          <w:szCs w:val="22"/>
        </w:rPr>
        <w:t xml:space="preserve"> gain</w:t>
      </w:r>
      <w:r w:rsidRPr="00626139"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 xml:space="preserve">access to the pool area. </w:t>
      </w:r>
    </w:p>
    <w:p w14:paraId="634EE842" w14:textId="77777777" w:rsidR="008D4B24" w:rsidRPr="008D4B24" w:rsidRDefault="008D4B24" w:rsidP="008D4B24">
      <w:pPr>
        <w:pStyle w:val="ListParagraph"/>
        <w:autoSpaceDE w:val="0"/>
        <w:autoSpaceDN w:val="0"/>
        <w:adjustRightInd w:val="0"/>
        <w:spacing w:after="2" w:line="240" w:lineRule="auto"/>
        <w:rPr>
          <w:rFonts w:ascii="Arial" w:hAnsi="Arial" w:cs="Arial"/>
          <w:b/>
          <w:bCs/>
          <w:sz w:val="22"/>
          <w:szCs w:val="22"/>
        </w:rPr>
      </w:pPr>
    </w:p>
    <w:p w14:paraId="4269904B" w14:textId="1F7EECCB" w:rsidR="00626139" w:rsidRPr="008D4B24" w:rsidRDefault="00626139" w:rsidP="008D4B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" w:line="240" w:lineRule="auto"/>
        <w:rPr>
          <w:rFonts w:ascii="Arial" w:hAnsi="Arial" w:cs="Arial"/>
          <w:b/>
          <w:bCs/>
          <w:sz w:val="22"/>
          <w:szCs w:val="22"/>
        </w:rPr>
      </w:pPr>
      <w:r w:rsidRPr="00626139">
        <w:rPr>
          <w:rFonts w:ascii="Arial" w:hAnsi="Arial" w:cs="Arial"/>
          <w:kern w:val="0"/>
          <w:sz w:val="22"/>
          <w:szCs w:val="22"/>
        </w:rPr>
        <w:t>All gates and doors exiting the pool area shall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626139">
        <w:rPr>
          <w:rFonts w:ascii="Arial" w:hAnsi="Arial" w:cs="Arial"/>
          <w:kern w:val="0"/>
          <w:sz w:val="22"/>
          <w:szCs w:val="22"/>
        </w:rPr>
        <w:t>open into a public area or a walkway accessible by all patrons of the pool.</w:t>
      </w:r>
    </w:p>
    <w:p w14:paraId="057CB299" w14:textId="77777777" w:rsidR="008D4B24" w:rsidRDefault="008D4B24" w:rsidP="008D4B2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64EA48F2" w14:textId="0BDFCA47" w:rsidR="008D4B24" w:rsidRPr="008D4B24" w:rsidRDefault="008D4B24" w:rsidP="008D4B24">
      <w:pPr>
        <w:pStyle w:val="ListParagraph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31B-4</w:t>
      </w:r>
    </w:p>
    <w:p w14:paraId="695F3B8E" w14:textId="75969D90" w:rsidR="008D4B24" w:rsidRDefault="008D4B24" w:rsidP="008D4B24">
      <w:pPr>
        <w:autoSpaceDE w:val="0"/>
        <w:autoSpaceDN w:val="0"/>
        <w:adjustRightInd w:val="0"/>
        <w:spacing w:after="2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D4B24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766A565" wp14:editId="0F2F8034">
            <wp:extent cx="3029159" cy="5044150"/>
            <wp:effectExtent l="2222" t="0" r="2223" b="2222"/>
            <wp:docPr id="1412063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2173" cy="506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77D7F" w14:textId="77777777" w:rsidR="008D4B24" w:rsidRDefault="008D4B24" w:rsidP="008D4B24">
      <w:pPr>
        <w:autoSpaceDE w:val="0"/>
        <w:autoSpaceDN w:val="0"/>
        <w:adjustRightInd w:val="0"/>
        <w:spacing w:after="2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F82340" w14:textId="65AEB163" w:rsidR="008D4B24" w:rsidRDefault="008D4B24" w:rsidP="008D4B24">
      <w:pPr>
        <w:autoSpaceDE w:val="0"/>
        <w:autoSpaceDN w:val="0"/>
        <w:adjustRightInd w:val="0"/>
        <w:spacing w:after="2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31B-5</w:t>
      </w:r>
    </w:p>
    <w:p w14:paraId="39AA9E13" w14:textId="78E4C019" w:rsidR="008D4B24" w:rsidRPr="008D4B24" w:rsidRDefault="008D4B24" w:rsidP="008D4B24">
      <w:pPr>
        <w:autoSpaceDE w:val="0"/>
        <w:autoSpaceDN w:val="0"/>
        <w:adjustRightInd w:val="0"/>
        <w:spacing w:after="2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D4B24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A33F5A5" wp14:editId="21141FAE">
            <wp:extent cx="2419350" cy="4068966"/>
            <wp:effectExtent l="0" t="5398" r="0" b="0"/>
            <wp:docPr id="4721808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38" b="6682"/>
                    <a:stretch/>
                  </pic:blipFill>
                  <pic:spPr bwMode="auto">
                    <a:xfrm rot="5400000">
                      <a:off x="0" y="0"/>
                      <a:ext cx="2425424" cy="407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4B24" w:rsidRPr="008D4B24" w:rsidSect="006404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84936" w14:textId="77777777" w:rsidR="00737F4A" w:rsidRDefault="00737F4A" w:rsidP="00605C81">
      <w:pPr>
        <w:spacing w:after="0" w:line="240" w:lineRule="auto"/>
      </w:pPr>
      <w:r>
        <w:separator/>
      </w:r>
    </w:p>
  </w:endnote>
  <w:endnote w:type="continuationSeparator" w:id="0">
    <w:p w14:paraId="43845B77" w14:textId="77777777" w:rsidR="00737F4A" w:rsidRDefault="00737F4A" w:rsidP="0060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94F4B" w14:textId="77777777" w:rsidR="001B0E67" w:rsidRDefault="001B0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836E3" w14:textId="77777777" w:rsidR="00B01228" w:rsidRDefault="00B01228">
    <w:pPr>
      <w:pStyle w:val="Footer"/>
    </w:pPr>
  </w:p>
  <w:p w14:paraId="484E9867" w14:textId="77777777" w:rsidR="00605C81" w:rsidRDefault="00983F51" w:rsidP="00983F51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60B4B" wp14:editId="59395FC5">
          <wp:simplePos x="0" y="0"/>
          <wp:positionH relativeFrom="column">
            <wp:posOffset>5938</wp:posOffset>
          </wp:positionH>
          <wp:positionV relativeFrom="paragraph">
            <wp:posOffset>-1264640</wp:posOffset>
          </wp:positionV>
          <wp:extent cx="9372138" cy="1449009"/>
          <wp:effectExtent l="0" t="0" r="0" b="0"/>
          <wp:wrapNone/>
          <wp:docPr id="1502139811" name="Picture 10" descr="A blue and green striped objec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17085" name="Picture 10" descr="A blue and green striped object&#10;&#10;Description automatically generated with medium confidence"/>
                  <pic:cNvPicPr/>
                </pic:nvPicPr>
                <pic:blipFill rotWithShape="1">
                  <a:blip r:embed="rId1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73" t="-5983" r="-6663" b="27792"/>
                  <a:stretch/>
                </pic:blipFill>
                <pic:spPr bwMode="auto">
                  <a:xfrm>
                    <a:off x="0" y="0"/>
                    <a:ext cx="9372138" cy="14490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88E8C" w14:textId="77777777" w:rsidR="001B0E67" w:rsidRDefault="001B0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D891E" w14:textId="77777777" w:rsidR="00737F4A" w:rsidRDefault="00737F4A" w:rsidP="00605C81">
      <w:pPr>
        <w:spacing w:after="0" w:line="240" w:lineRule="auto"/>
      </w:pPr>
      <w:r>
        <w:separator/>
      </w:r>
    </w:p>
  </w:footnote>
  <w:footnote w:type="continuationSeparator" w:id="0">
    <w:p w14:paraId="478A9FC5" w14:textId="77777777" w:rsidR="00737F4A" w:rsidRDefault="00737F4A" w:rsidP="0060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temporary/>
      <w:showingPlcHdr/>
      <w15:appearance w15:val="hidden"/>
    </w:sdtPr>
    <w:sdtEndPr/>
    <w:sdtContent>
      <w:p w14:paraId="58AF52F5" w14:textId="77777777" w:rsidR="00605C81" w:rsidRDefault="00605C81">
        <w:pPr>
          <w:pStyle w:val="Header"/>
        </w:pPr>
        <w:r>
          <w:t>[Type here]</w:t>
        </w:r>
      </w:p>
    </w:sdtContent>
  </w:sdt>
  <w:p w14:paraId="590E6EEC" w14:textId="77777777" w:rsidR="00605C81" w:rsidRDefault="00605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22C8" w14:textId="77777777" w:rsidR="001B0E67" w:rsidRDefault="001B0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B25D" w14:textId="77777777" w:rsidR="001B0E67" w:rsidRDefault="001B0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45F87"/>
    <w:multiLevelType w:val="hybridMultilevel"/>
    <w:tmpl w:val="0824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B138E"/>
    <w:multiLevelType w:val="hybridMultilevel"/>
    <w:tmpl w:val="AF5A9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100C"/>
    <w:multiLevelType w:val="hybridMultilevel"/>
    <w:tmpl w:val="4168A086"/>
    <w:lvl w:ilvl="0" w:tplc="A888D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B378C"/>
    <w:multiLevelType w:val="hybridMultilevel"/>
    <w:tmpl w:val="3C0275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D835152"/>
    <w:multiLevelType w:val="hybridMultilevel"/>
    <w:tmpl w:val="F60E1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75281">
    <w:abstractNumId w:val="4"/>
  </w:num>
  <w:num w:numId="2" w16cid:durableId="1233466670">
    <w:abstractNumId w:val="3"/>
  </w:num>
  <w:num w:numId="3" w16cid:durableId="1126897546">
    <w:abstractNumId w:val="0"/>
  </w:num>
  <w:num w:numId="4" w16cid:durableId="1808350980">
    <w:abstractNumId w:val="1"/>
  </w:num>
  <w:num w:numId="5" w16cid:durableId="191890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6"/>
    <w:rsid w:val="000509E0"/>
    <w:rsid w:val="000656BC"/>
    <w:rsid w:val="00081C6C"/>
    <w:rsid w:val="000A64B4"/>
    <w:rsid w:val="000E3ACA"/>
    <w:rsid w:val="00135E01"/>
    <w:rsid w:val="001A33AA"/>
    <w:rsid w:val="001A7F76"/>
    <w:rsid w:val="001B0E67"/>
    <w:rsid w:val="001F474B"/>
    <w:rsid w:val="00216207"/>
    <w:rsid w:val="002253F7"/>
    <w:rsid w:val="002268EC"/>
    <w:rsid w:val="00243366"/>
    <w:rsid w:val="00260617"/>
    <w:rsid w:val="002A0DBE"/>
    <w:rsid w:val="002C0AFD"/>
    <w:rsid w:val="003541F5"/>
    <w:rsid w:val="003C32AF"/>
    <w:rsid w:val="00401242"/>
    <w:rsid w:val="004438AA"/>
    <w:rsid w:val="00466C39"/>
    <w:rsid w:val="004835C4"/>
    <w:rsid w:val="004E53B8"/>
    <w:rsid w:val="005116D9"/>
    <w:rsid w:val="00534190"/>
    <w:rsid w:val="005636C1"/>
    <w:rsid w:val="005670A5"/>
    <w:rsid w:val="00591DD5"/>
    <w:rsid w:val="00605C81"/>
    <w:rsid w:val="006229CB"/>
    <w:rsid w:val="00626139"/>
    <w:rsid w:val="006404BA"/>
    <w:rsid w:val="0064333F"/>
    <w:rsid w:val="00645906"/>
    <w:rsid w:val="006923BE"/>
    <w:rsid w:val="006E4785"/>
    <w:rsid w:val="007203AD"/>
    <w:rsid w:val="007206E7"/>
    <w:rsid w:val="0073007A"/>
    <w:rsid w:val="00737F4A"/>
    <w:rsid w:val="007C7E06"/>
    <w:rsid w:val="00894B8E"/>
    <w:rsid w:val="00897D69"/>
    <w:rsid w:val="008D4B24"/>
    <w:rsid w:val="008F08C8"/>
    <w:rsid w:val="00910279"/>
    <w:rsid w:val="009335A3"/>
    <w:rsid w:val="00983743"/>
    <w:rsid w:val="00983F51"/>
    <w:rsid w:val="00987CC8"/>
    <w:rsid w:val="009C1601"/>
    <w:rsid w:val="009D313C"/>
    <w:rsid w:val="00A51D7F"/>
    <w:rsid w:val="00A53B54"/>
    <w:rsid w:val="00A9272D"/>
    <w:rsid w:val="00B01228"/>
    <w:rsid w:val="00BC6C97"/>
    <w:rsid w:val="00C350E3"/>
    <w:rsid w:val="00C45C14"/>
    <w:rsid w:val="00C4777E"/>
    <w:rsid w:val="00CE1592"/>
    <w:rsid w:val="00D41800"/>
    <w:rsid w:val="00D6715E"/>
    <w:rsid w:val="00D95766"/>
    <w:rsid w:val="00DD1340"/>
    <w:rsid w:val="00DF6B14"/>
    <w:rsid w:val="00E07776"/>
    <w:rsid w:val="00E665A9"/>
    <w:rsid w:val="00E67F5D"/>
    <w:rsid w:val="00EA05A4"/>
    <w:rsid w:val="00F2291C"/>
    <w:rsid w:val="00F76DB5"/>
    <w:rsid w:val="00FD38FA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E60FC"/>
  <w15:chartTrackingRefBased/>
  <w15:docId w15:val="{99C34D11-B85A-E64C-A0C9-BA177F3B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roxima Nova" w:eastAsiaTheme="minorHAnsi" w:hAnsi="Proxima Nov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C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5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81"/>
  </w:style>
  <w:style w:type="paragraph" w:styleId="Footer">
    <w:name w:val="footer"/>
    <w:basedOn w:val="Normal"/>
    <w:link w:val="FooterChar"/>
    <w:uiPriority w:val="99"/>
    <w:unhideWhenUsed/>
    <w:rsid w:val="00605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81"/>
  </w:style>
  <w:style w:type="table" w:styleId="TableGrid">
    <w:name w:val="Table Grid"/>
    <w:basedOn w:val="TableNormal"/>
    <w:uiPriority w:val="39"/>
    <w:rsid w:val="0091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e8d45-5bcd-4685-a91c-6e638d91b6aa" xsi:nil="true"/>
    <lcf76f155ced4ddcb4097134ff3c332f xmlns="99b002e2-c20b-4a43-9616-beb0d30f95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625717EAE674A89FCDD8D96F54593" ma:contentTypeVersion="11" ma:contentTypeDescription="Create a new document." ma:contentTypeScope="" ma:versionID="4859cbd64a9205e8ba93ff454622eb35">
  <xsd:schema xmlns:xsd="http://www.w3.org/2001/XMLSchema" xmlns:xs="http://www.w3.org/2001/XMLSchema" xmlns:p="http://schemas.microsoft.com/office/2006/metadata/properties" xmlns:ns2="99b002e2-c20b-4a43-9616-beb0d30f95ee" xmlns:ns3="c7be8d45-5bcd-4685-a91c-6e638d91b6aa" targetNamespace="http://schemas.microsoft.com/office/2006/metadata/properties" ma:root="true" ma:fieldsID="7d20852e515df4df75ca045ff9286170" ns2:_="" ns3:_="">
    <xsd:import namespace="99b002e2-c20b-4a43-9616-beb0d30f95ee"/>
    <xsd:import namespace="c7be8d45-5bcd-4685-a91c-6e638d91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002e2-c20b-4a43-9616-beb0d30f9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1ae31f-c28a-4716-a009-568f48ecc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8d45-5bcd-4685-a91c-6e638d91b6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350da5-4272-4d19-ad73-92dd8cd51354}" ma:internalName="TaxCatchAll" ma:showField="CatchAllData" ma:web="c7be8d45-5bcd-4685-a91c-6e638d91b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E551F1-E6E8-4BA5-AC8A-8D9732C264C4}">
  <ds:schemaRefs>
    <ds:schemaRef ds:uri="http://schemas.microsoft.com/office/2006/metadata/properties"/>
    <ds:schemaRef ds:uri="http://schemas.microsoft.com/office/infopath/2007/PartnerControls"/>
    <ds:schemaRef ds:uri="c7be8d45-5bcd-4685-a91c-6e638d91b6aa"/>
    <ds:schemaRef ds:uri="99b002e2-c20b-4a43-9616-beb0d30f95ee"/>
  </ds:schemaRefs>
</ds:datastoreItem>
</file>

<file path=customXml/itemProps2.xml><?xml version="1.0" encoding="utf-8"?>
<ds:datastoreItem xmlns:ds="http://schemas.openxmlformats.org/officeDocument/2006/customXml" ds:itemID="{FB1CA9A2-8AD7-4840-B129-6D38CE355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36CFF-3BC9-40E2-AACD-E46BCB8C1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002e2-c20b-4a43-9616-beb0d30f95ee"/>
    <ds:schemaRef ds:uri="c7be8d45-5bcd-4685-a91c-6e638d91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7669B-7F44-FE45-A86F-BF672288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Limon</dc:creator>
  <cp:keywords/>
  <dc:description/>
  <cp:lastModifiedBy>Hochstrasser, Erin</cp:lastModifiedBy>
  <cp:revision>3</cp:revision>
  <cp:lastPrinted>2024-08-27T22:00:00Z</cp:lastPrinted>
  <dcterms:created xsi:type="dcterms:W3CDTF">2025-04-02T16:54:00Z</dcterms:created>
  <dcterms:modified xsi:type="dcterms:W3CDTF">2025-04-02T17:10:00Z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0x01010086A625717EAE674A89FCDD8D96F54593</vt:lpwstr>
  </property>
</Properties>
</file>